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hAnsi="Times New Roman"/>
          <w:b/>
          <w:bCs/>
          <w:sz w:val="44"/>
          <w:szCs w:val="21"/>
        </w:rPr>
      </w:pP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begin"/>
      </w:r>
      <w:r>
        <w:rPr>
          <w:rFonts w:ascii="Times New Roman" w:hAnsi="Times New Roman"/>
          <w:b/>
          <w:bCs/>
          <w:color w:val="ff0000"/>
          <w:sz w:val="44"/>
          <w:szCs w:val="21"/>
        </w:rPr>
        <w:instrText>ADDIN CNKISM.UserStyle</w:instrText>
      </w: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end"/>
      </w:r>
      <w:r>
        <w:rPr>
          <w:rFonts w:ascii="Times New Roman" w:hAnsi="Times New Roman" w:hint="eastAsia"/>
          <w:b/>
          <w:bCs/>
          <w:color w:val="ff0000"/>
          <w:sz w:val="44"/>
          <w:szCs w:val="21"/>
        </w:rPr>
        <w:t>共青团上海立信会计金融学院委员会</w:t>
      </w:r>
    </w:p>
    <w:p>
      <w:pPr>
        <w:pStyle w:val="style0"/>
        <w:jc w:val="center"/>
        <w:rPr>
          <w:rFonts w:ascii="Times New Roman" w:hAnsi="Times New Roman"/>
          <w:b/>
          <w:bCs/>
          <w:color w:val="ff0000"/>
          <w:sz w:val="18"/>
          <w:szCs w:val="21"/>
        </w:rPr>
      </w:pPr>
    </w:p>
    <w:p>
      <w:pPr>
        <w:pStyle w:val="style0"/>
        <w:jc w:val="center"/>
        <w:rPr>
          <w:rFonts w:ascii="Times New Roman" w:hAnsi="Times New Roman"/>
          <w:b/>
          <w:bCs/>
          <w:color w:val="ff0000"/>
          <w:sz w:val="24"/>
          <w:szCs w:val="21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立信会计金融团发〔</w:t>
      </w:r>
      <w:r>
        <w:rPr>
          <w:rFonts w:ascii="Times New Roman" w:hAnsi="Times New Roman"/>
          <w:b/>
          <w:bCs/>
          <w:color w:val="ff0000"/>
          <w:sz w:val="24"/>
          <w:szCs w:val="21"/>
        </w:rPr>
        <w:t>2022</w:t>
      </w:r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〕</w:t>
      </w:r>
      <w:r>
        <w:rPr>
          <w:rFonts w:ascii="Times New Roman" w:hAnsi="Times New Roman" w:hint="default"/>
          <w:b/>
          <w:bCs/>
          <w:color w:val="ff0000"/>
          <w:sz w:val="24"/>
          <w:szCs w:val="21"/>
          <w:lang w:val="en-US"/>
        </w:rPr>
        <w:t>30</w:t>
      </w:r>
      <w:r>
        <w:rPr>
          <w:rFonts w:ascii="Times New Roman" w:hAnsi="Times New Roman"/>
          <w:b/>
          <w:bCs/>
          <w:color w:val="ff0000"/>
          <w:sz w:val="24"/>
          <w:szCs w:val="21"/>
        </w:rPr>
        <w:t xml:space="preserve"> </w:t>
      </w:r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号</w:t>
      </w:r>
    </w:p>
    <w:p>
      <w:pPr>
        <w:pStyle w:val="style0"/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 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</w:rPr>
        <w:t>关于公布</w:t>
      </w:r>
      <w:bookmarkStart w:id="0" w:name="_Hlk115382190"/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</w:rPr>
        <w:t>2022年“助力乡村振兴，建设美丽中国”</w:t>
      </w:r>
    </w:p>
    <w:bookmarkStart w:id="1" w:name="_GoBack"/>
    <w:bookmarkEnd w:id="1"/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sz w:val="28"/>
          <w:szCs w:val="28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</w:rPr>
        <w:t>暑期社会实践专项活动</w:t>
      </w:r>
      <w:bookmarkEnd w:id="0"/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  <w:lang w:val="en-US"/>
        </w:rPr>
        <w:t>获奖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36"/>
          <w:szCs w:val="36"/>
        </w:rPr>
        <w:t>结果的通知</w:t>
      </w:r>
    </w:p>
    <w:p>
      <w:pPr>
        <w:pStyle w:val="style0"/>
        <w:widowControl/>
        <w:autoSpaceDE w:val="false"/>
        <w:spacing w:lineRule="auto" w:line="360"/>
        <w:rPr>
          <w:rFonts w:ascii="仿宋" w:cs="宋体" w:eastAsia="仿宋" w:hAnsi="仿宋" w:hint="eastAsia"/>
          <w:kern w:val="0"/>
          <w:sz w:val="28"/>
          <w:szCs w:val="24"/>
        </w:rPr>
      </w:pPr>
    </w:p>
    <w:p>
      <w:pPr>
        <w:pStyle w:val="style0"/>
        <w:spacing w:lineRule="exact" w:line="5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各二级学院团委（团总支）：</w:t>
      </w:r>
    </w:p>
    <w:p>
      <w:pPr>
        <w:pStyle w:val="style0"/>
        <w:spacing w:lineRule="exact" w:line="520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2022年“助力乡村振兴，建设美丽中国”暑期社会实践专项活动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自启动以来</w:t>
      </w:r>
      <w:r>
        <w:rPr>
          <w:rFonts w:ascii="仿宋_GB2312" w:eastAsia="仿宋_GB2312" w:hAnsi="仿宋" w:hint="default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吸引了约</w:t>
      </w:r>
      <w:r>
        <w:rPr>
          <w:rFonts w:ascii="仿宋_GB2312" w:eastAsia="仿宋_GB2312" w:hAnsi="仿宋" w:hint="default"/>
          <w:sz w:val="32"/>
          <w:szCs w:val="32"/>
        </w:rPr>
        <w:t>200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余名在校学生以个人或团队形式参加</w:t>
      </w:r>
      <w:r>
        <w:rPr>
          <w:rFonts w:ascii="仿宋_GB2312" w:eastAsia="仿宋_GB2312" w:hAnsi="仿宋" w:hint="default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共计走访</w:t>
      </w:r>
      <w:r>
        <w:rPr>
          <w:rFonts w:ascii="仿宋_GB2312" w:eastAsia="仿宋_GB2312" w:hAnsi="仿宋" w:hint="default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个省（自治区、直辖市）</w:t>
      </w:r>
      <w:r>
        <w:rPr>
          <w:rFonts w:ascii="仿宋_GB2312" w:eastAsia="仿宋_GB2312" w:hAnsi="仿宋" w:hint="default"/>
          <w:sz w:val="32"/>
          <w:szCs w:val="32"/>
        </w:rPr>
        <w:t>、100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多个城市</w:t>
      </w:r>
      <w:r>
        <w:rPr>
          <w:rFonts w:ascii="仿宋_GB2312" w:eastAsia="仿宋_GB2312" w:hAnsi="仿宋" w:hint="default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形成了一批实践优秀成果</w:t>
      </w:r>
      <w:r>
        <w:rPr>
          <w:rFonts w:ascii="仿宋_GB2312" w:eastAsia="仿宋_GB2312" w:hAnsi="仿宋" w:hint="default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根据</w:t>
      </w:r>
      <w:r>
        <w:rPr>
          <w:rFonts w:ascii="仿宋_GB2312" w:eastAsia="仿宋_GB2312" w:hAnsi="仿宋" w:hint="default"/>
          <w:sz w:val="32"/>
          <w:szCs w:val="32"/>
        </w:rPr>
        <w:t>《2022年“助力乡村振兴，建设美丽中国”暑期社会实践专项活动》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通知</w:t>
      </w:r>
      <w:r>
        <w:rPr>
          <w:rFonts w:ascii="仿宋_GB2312" w:eastAsia="仿宋_GB2312" w:hAnsi="仿宋" w:hint="default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经过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实践个人</w:t>
      </w:r>
      <w:r>
        <w:rPr>
          <w:rFonts w:ascii="仿宋_GB2312" w:eastAsia="仿宋_GB2312" w:hAnsi="仿宋" w:hint="default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团队申报</w:t>
      </w:r>
      <w:r>
        <w:rPr>
          <w:rFonts w:ascii="仿宋_GB2312" w:eastAsia="仿宋_GB2312" w:hAnsi="仿宋" w:hint="default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校团委组织</w:t>
      </w:r>
      <w:r>
        <w:rPr>
          <w:rFonts w:ascii="仿宋_GB2312" w:eastAsia="仿宋_GB2312" w:hAnsi="仿宋" w:hint="eastAsia"/>
          <w:sz w:val="32"/>
          <w:szCs w:val="32"/>
        </w:rPr>
        <w:t>评审，共评出了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优秀实践项目</w:t>
      </w:r>
      <w:r>
        <w:rPr>
          <w:rFonts w:ascii="仿宋_GB2312" w:eastAsia="仿宋_GB2312" w:hAnsi="仿宋" w:hint="eastAsia"/>
          <w:sz w:val="32"/>
          <w:szCs w:val="32"/>
        </w:rPr>
        <w:t>15项，其中一等奖2项、二等奖5项，三等奖8项</w:t>
      </w:r>
      <w:r>
        <w:rPr>
          <w:rFonts w:ascii="仿宋_GB2312" w:eastAsia="仿宋_GB2312" w:hAnsi="仿宋" w:hint="default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最佳团队4个</w:t>
      </w:r>
      <w:r>
        <w:rPr>
          <w:rFonts w:ascii="仿宋_GB2312" w:eastAsia="仿宋_GB2312" w:hAnsi="仿宋" w:hint="default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最佳实践个人15名。现将结果公布如下（同等奖项，排名不分先后）：</w:t>
      </w:r>
    </w:p>
    <w:p>
      <w:pPr>
        <w:pStyle w:val="style0"/>
        <w:spacing w:lineRule="exact" w:line="520"/>
        <w:ind w:firstLine="640" w:firstLineChars="200"/>
        <w:rPr>
          <w:rFonts w:ascii="黑体" w:cs="黑体" w:eastAsia="黑体" w:hAnsi="黑体" w:hint="eastAsia"/>
          <w:sz w:val="32"/>
          <w:szCs w:val="32"/>
          <w:lang w:val="en-US"/>
        </w:rPr>
      </w:pPr>
      <w:r>
        <w:rPr>
          <w:rFonts w:ascii="黑体" w:cs="黑体" w:eastAsia="黑体" w:hAnsi="黑体" w:hint="eastAsia"/>
          <w:sz w:val="32"/>
          <w:szCs w:val="32"/>
          <w:lang w:val="en-US"/>
        </w:rPr>
        <w:t>一</w:t>
      </w:r>
      <w:r>
        <w:rPr>
          <w:rFonts w:ascii="黑体" w:cs="黑体" w:eastAsia="黑体" w:hAnsi="黑体" w:hint="eastAsia"/>
          <w:sz w:val="32"/>
          <w:szCs w:val="32"/>
        </w:rPr>
        <w:t>、</w:t>
      </w:r>
      <w:r>
        <w:rPr>
          <w:rFonts w:ascii="黑体" w:cs="黑体" w:eastAsia="黑体" w:hAnsi="黑体" w:hint="eastAsia"/>
          <w:sz w:val="32"/>
          <w:szCs w:val="32"/>
          <w:lang w:val="en-US"/>
        </w:rPr>
        <w:t>优秀实践项目</w:t>
      </w:r>
      <w:r>
        <w:rPr>
          <w:rFonts w:ascii="黑体" w:cs="黑体" w:eastAsia="黑体" w:hAnsi="黑体" w:hint="default"/>
          <w:sz w:val="32"/>
          <w:szCs w:val="32"/>
        </w:rPr>
        <w:t>（15</w:t>
      </w:r>
      <w:r>
        <w:rPr>
          <w:rFonts w:ascii="黑体" w:cs="黑体" w:eastAsia="黑体" w:hAnsi="黑体" w:hint="eastAsia"/>
          <w:sz w:val="32"/>
          <w:szCs w:val="32"/>
          <w:lang w:val="en-US"/>
        </w:rPr>
        <w:t>项</w:t>
      </w:r>
      <w:r>
        <w:rPr>
          <w:rFonts w:ascii="黑体" w:cs="黑体" w:eastAsia="黑体" w:hAnsi="黑体" w:hint="default"/>
          <w:sz w:val="32"/>
          <w:szCs w:val="32"/>
        </w:rPr>
        <w:t>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" w:cs="宋体" w:eastAsia="仿宋" w:hAnsi="仿宋"/>
          <w:b/>
          <w:bCs/>
          <w:kern w:val="0"/>
          <w:sz w:val="24"/>
        </w:rPr>
      </w:pPr>
      <w:r>
        <w:rPr>
          <w:rFonts w:ascii="黑体" w:cs="黑体" w:eastAsia="黑体" w:hAnsi="黑体" w:hint="eastAsia"/>
          <w:kern w:val="0"/>
          <w:sz w:val="28"/>
          <w:szCs w:val="24"/>
        </w:rPr>
        <w:t>一等奖（2项）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《乡兴有我——探农村集体经济之路，挥基层社会治理之用》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《中国农村金融市场风险与可持续发展研究 ——基于 16 省 30 个村镇银行和 41 个村落的田野调查数据》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黑体" w:cs="黑体" w:eastAsia="黑体" w:hAnsi="黑体"/>
          <w:kern w:val="0"/>
          <w:sz w:val="28"/>
          <w:szCs w:val="24"/>
        </w:rPr>
      </w:pPr>
      <w:r>
        <w:rPr>
          <w:rFonts w:ascii="黑体" w:cs="黑体" w:eastAsia="黑体" w:hAnsi="黑体" w:hint="eastAsia"/>
          <w:kern w:val="0"/>
          <w:sz w:val="28"/>
          <w:szCs w:val="24"/>
        </w:rPr>
        <w:t>二等奖（</w:t>
      </w:r>
      <w:r>
        <w:rPr>
          <w:rFonts w:ascii="黑体" w:cs="黑体" w:eastAsia="黑体" w:hAnsi="黑体"/>
          <w:kern w:val="0"/>
          <w:sz w:val="28"/>
          <w:szCs w:val="24"/>
        </w:rPr>
        <w:t>5</w:t>
      </w:r>
      <w:r>
        <w:rPr>
          <w:rFonts w:ascii="黑体" w:cs="黑体" w:eastAsia="黑体" w:hAnsi="黑体" w:hint="eastAsia"/>
          <w:kern w:val="0"/>
          <w:sz w:val="28"/>
          <w:szCs w:val="24"/>
        </w:rPr>
        <w:t>项）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金融学院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《基于元宇宙背景下的OTO型老年人虚拟社区陪诊服务模式探索——以上海市浦东新区曹路社区为例》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工商管理学院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《基于SWOT—PEST分析的张野村状元古道文化旅游产业链构建策略研究》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国际经贸学院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《老年群体数字鸿沟 ——疫情下的弥合路径探索》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外国语学院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《乡村图书馆》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保险学院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 w:val="false"/>
          <w:bCs w:val="false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《看乡村旅游经济 助城村共同富裕》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黑体" w:cs="黑体" w:eastAsia="黑体" w:hAnsi="黑体"/>
          <w:kern w:val="0"/>
          <w:sz w:val="28"/>
          <w:szCs w:val="24"/>
        </w:rPr>
      </w:pPr>
      <w:r>
        <w:rPr>
          <w:rFonts w:ascii="黑体" w:cs="黑体" w:eastAsia="黑体" w:hAnsi="黑体" w:hint="eastAsia"/>
          <w:kern w:val="0"/>
          <w:sz w:val="28"/>
          <w:szCs w:val="24"/>
        </w:rPr>
        <w:t>三等奖（</w:t>
      </w:r>
      <w:r>
        <w:rPr>
          <w:rFonts w:ascii="黑体" w:cs="黑体" w:eastAsia="黑体" w:hAnsi="黑体"/>
          <w:kern w:val="0"/>
          <w:sz w:val="28"/>
          <w:szCs w:val="24"/>
        </w:rPr>
        <w:t>8</w:t>
      </w:r>
      <w:r>
        <w:rPr>
          <w:rFonts w:ascii="黑体" w:cs="黑体" w:eastAsia="黑体" w:hAnsi="黑体" w:hint="eastAsia"/>
          <w:kern w:val="0"/>
          <w:sz w:val="28"/>
          <w:szCs w:val="24"/>
        </w:rPr>
        <w:t>项）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会计学院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《红色昭昭耀新乡》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金融学院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《云设——助力乡村企业可持续发展的营销设计推广实践》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《认真贯彻落实党政主导、社会参与、全民关怀的老龄工作方针》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财税与公共管理学院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《乡村治理及乡村生态融合建设的探究——以川沙镇连民村振兴为例》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统计与数学书院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《“初心如磐，教育先行”——乡村振兴背景下的教育扶贫与乡村振兴专题实践研究报告》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外国语学院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</w:t>
      </w:r>
      <w:r>
        <w:rPr>
          <w:rFonts w:ascii="仿宋_GB2312" w:cs="仿宋_GB2312" w:eastAsia="仿宋_GB2312" w:hAnsi="仿宋_GB2312" w:hint="default"/>
          <w:kern w:val="0"/>
          <w:sz w:val="24"/>
        </w:rPr>
        <w:t>&lt;</w:t>
      </w:r>
      <w:r>
        <w:rPr>
          <w:rFonts w:ascii="仿宋_GB2312" w:cs="仿宋_GB2312" w:eastAsia="仿宋_GB2312" w:hAnsi="仿宋_GB2312" w:hint="eastAsia"/>
          <w:kern w:val="0"/>
          <w:sz w:val="24"/>
        </w:rPr>
        <w:t>乡村振兴背景下农村集体经济发展与基层社会治理机制研究——以安徽省亳州市蒙城县双涧村为例</w:t>
      </w:r>
      <w:r>
        <w:rPr>
          <w:rFonts w:ascii="仿宋_GB2312" w:cs="仿宋_GB2312" w:eastAsia="仿宋_GB2312" w:hAnsi="仿宋_GB2312" w:hint="default"/>
          <w:kern w:val="0"/>
          <w:sz w:val="24"/>
        </w:rPr>
        <w:t>&gt;</w:t>
      </w:r>
      <w:r>
        <w:rPr>
          <w:rFonts w:ascii="仿宋_GB2312" w:cs="仿宋_GB2312" w:eastAsia="仿宋_GB2312" w:hAnsi="仿宋_GB2312" w:hint="eastAsia"/>
          <w:kern w:val="0"/>
          <w:sz w:val="24"/>
        </w:rPr>
        <w:t>实践活动报告》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《青春引航筑“港”未来：大中小学生朋辈助学实践项目 ——“四导三化”助人才振兴，打造区域品牌“云课堂”》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金融科技学院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《农销路漫漫 助农实践行——基于衡水市故城县郑口镇田野调查》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</w:p>
    <w:p>
      <w:pPr>
        <w:pStyle w:val="style0"/>
        <w:widowControl/>
        <w:autoSpaceDE w:val="false"/>
        <w:spacing w:lineRule="auto" w:line="360"/>
        <w:ind w:right="140" w:firstLine="560" w:firstLineChars="200"/>
        <w:jc w:val="both"/>
        <w:rPr>
          <w:rFonts w:ascii="黑体" w:cs="黑体" w:eastAsia="黑体" w:hAnsi="黑体"/>
          <w:kern w:val="0"/>
          <w:sz w:val="28"/>
          <w:szCs w:val="24"/>
        </w:rPr>
      </w:pPr>
      <w:r>
        <w:rPr>
          <w:rFonts w:ascii="黑体" w:cs="黑体" w:eastAsia="黑体" w:hAnsi="黑体" w:hint="eastAsia"/>
          <w:kern w:val="0"/>
          <w:sz w:val="28"/>
          <w:szCs w:val="24"/>
          <w:lang w:val="en-US"/>
        </w:rPr>
        <w:t>二</w:t>
      </w:r>
      <w:r>
        <w:rPr>
          <w:rFonts w:ascii="黑体" w:cs="黑体" w:eastAsia="黑体" w:hAnsi="黑体" w:hint="default"/>
          <w:kern w:val="0"/>
          <w:sz w:val="28"/>
          <w:szCs w:val="24"/>
        </w:rPr>
        <w:t>、</w:t>
      </w:r>
      <w:r>
        <w:rPr>
          <w:rFonts w:ascii="黑体" w:cs="黑体" w:eastAsia="黑体" w:hAnsi="黑体" w:hint="eastAsia"/>
          <w:kern w:val="0"/>
          <w:sz w:val="28"/>
          <w:szCs w:val="24"/>
        </w:rPr>
        <w:t>最佳团队（</w:t>
      </w:r>
      <w:r>
        <w:rPr>
          <w:rFonts w:ascii="黑体" w:cs="黑体" w:eastAsia="黑体" w:hAnsi="黑体"/>
          <w:kern w:val="0"/>
          <w:sz w:val="28"/>
          <w:szCs w:val="24"/>
        </w:rPr>
        <w:t>4</w:t>
      </w:r>
      <w:r>
        <w:rPr>
          <w:rFonts w:ascii="黑体" w:cs="黑体" w:eastAsia="黑体" w:hAnsi="黑体" w:hint="eastAsia"/>
          <w:kern w:val="0"/>
          <w:sz w:val="28"/>
          <w:szCs w:val="24"/>
        </w:rPr>
        <w:t>个）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金融学院</w:t>
      </w: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ab/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贵州数字乡村与大数据应用调研团队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工商管理学院</w:t>
      </w: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ab/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立信星火志愿小组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统计与数学学院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青春助力队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人文艺术学院</w:t>
      </w: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ab/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飞屋环游队</w:t>
      </w:r>
    </w:p>
    <w:p>
      <w:pPr>
        <w:pStyle w:val="style0"/>
        <w:widowControl/>
        <w:autoSpaceDE w:val="false"/>
        <w:spacing w:lineRule="auto" w:line="360"/>
        <w:ind w:right="140"/>
        <w:jc w:val="both"/>
        <w:rPr>
          <w:rFonts w:ascii="黑体" w:cs="黑体" w:eastAsia="黑体" w:hAnsi="黑体" w:hint="eastAsia"/>
          <w:kern w:val="0"/>
          <w:sz w:val="28"/>
          <w:szCs w:val="24"/>
        </w:rPr>
      </w:pPr>
    </w:p>
    <w:p>
      <w:pPr>
        <w:pStyle w:val="style0"/>
        <w:widowControl/>
        <w:autoSpaceDE w:val="false"/>
        <w:spacing w:lineRule="auto" w:line="360"/>
        <w:ind w:right="140" w:firstLine="560" w:firstLineChars="200"/>
        <w:jc w:val="both"/>
        <w:rPr>
          <w:rFonts w:ascii="黑体" w:cs="黑体" w:eastAsia="黑体" w:hAnsi="黑体"/>
          <w:kern w:val="0"/>
          <w:sz w:val="28"/>
          <w:szCs w:val="24"/>
        </w:rPr>
      </w:pPr>
      <w:r>
        <w:rPr>
          <w:rFonts w:ascii="黑体" w:cs="黑体" w:eastAsia="黑体" w:hAnsi="黑体" w:hint="eastAsia"/>
          <w:kern w:val="0"/>
          <w:sz w:val="28"/>
          <w:szCs w:val="24"/>
          <w:lang w:val="en-US"/>
        </w:rPr>
        <w:t>三</w:t>
      </w:r>
      <w:r>
        <w:rPr>
          <w:rFonts w:ascii="黑体" w:cs="黑体" w:eastAsia="黑体" w:hAnsi="黑体" w:hint="default"/>
          <w:kern w:val="0"/>
          <w:sz w:val="28"/>
          <w:szCs w:val="24"/>
        </w:rPr>
        <w:t>、</w:t>
      </w:r>
      <w:r>
        <w:rPr>
          <w:rFonts w:ascii="黑体" w:cs="黑体" w:eastAsia="黑体" w:hAnsi="黑体" w:hint="eastAsia"/>
          <w:kern w:val="0"/>
          <w:sz w:val="28"/>
          <w:szCs w:val="24"/>
        </w:rPr>
        <w:t>最佳实践个人（</w:t>
      </w:r>
      <w:r>
        <w:rPr>
          <w:rFonts w:ascii="黑体" w:cs="黑体" w:eastAsia="黑体" w:hAnsi="黑体"/>
          <w:kern w:val="0"/>
          <w:sz w:val="28"/>
          <w:szCs w:val="24"/>
        </w:rPr>
        <w:t>15</w:t>
      </w:r>
      <w:r>
        <w:rPr>
          <w:rFonts w:ascii="黑体" w:cs="黑体" w:eastAsia="黑体" w:hAnsi="黑体" w:hint="eastAsia"/>
          <w:kern w:val="0"/>
          <w:sz w:val="28"/>
          <w:szCs w:val="24"/>
        </w:rPr>
        <w:t>名）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会计学院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王丝雨 陈虹宇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金融学院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李芳菲 杨继超 卢雨萌 汪鲲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default"/>
          <w:kern w:val="0"/>
          <w:sz w:val="24"/>
        </w:rPr>
        <w:t xml:space="preserve">  </w:t>
      </w:r>
      <w:r>
        <w:rPr>
          <w:rFonts w:ascii="仿宋_GB2312" w:cs="仿宋_GB2312" w:eastAsia="仿宋_GB2312" w:hAnsi="仿宋_GB2312" w:hint="eastAsia"/>
          <w:kern w:val="0"/>
          <w:sz w:val="24"/>
        </w:rPr>
        <w:t>金黄婕 刘羽格 虞锦程 初源琳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国际经贸学院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吴向绎 刘惠文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default"/>
          <w:kern w:val="0"/>
          <w:sz w:val="24"/>
        </w:rPr>
        <w:t xml:space="preserve"> </w:t>
      </w: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信息管理学院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卫晨曦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b/>
          <w:bCs/>
          <w:kern w:val="0"/>
          <w:sz w:val="24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24"/>
        </w:rPr>
        <w:t>外国语学院</w:t>
      </w:r>
    </w:p>
    <w:p>
      <w:pPr>
        <w:pStyle w:val="style0"/>
        <w:widowControl/>
        <w:autoSpaceDE w:val="false"/>
        <w:spacing w:lineRule="auto" w:line="360"/>
        <w:ind w:right="140" w:firstLine="420"/>
        <w:jc w:val="center"/>
        <w:rPr>
          <w:rFonts w:ascii="仿宋_GB2312" w:cs="仿宋_GB2312" w:eastAsia="仿宋_GB2312" w:hAnsi="仿宋_GB2312" w:hint="eastAsia"/>
          <w:kern w:val="0"/>
          <w:sz w:val="24"/>
        </w:rPr>
      </w:pPr>
      <w:r>
        <w:rPr>
          <w:rFonts w:ascii="仿宋_GB2312" w:cs="仿宋_GB2312" w:eastAsia="仿宋_GB2312" w:hAnsi="仿宋_GB2312" w:hint="eastAsia"/>
          <w:kern w:val="0"/>
          <w:sz w:val="24"/>
        </w:rPr>
        <w:t>包羽平 张嘉怡</w:t>
      </w:r>
      <w:r>
        <w:rPr>
          <w:rFonts w:ascii="仿宋_GB2312" w:cs="仿宋_GB2312" w:eastAsia="仿宋_GB2312" w:hAnsi="仿宋_GB2312" w:hint="eastAsia"/>
          <w:kern w:val="0"/>
          <w:sz w:val="24"/>
        </w:rPr>
        <w:br/>
      </w:r>
      <w:r>
        <w:rPr>
          <w:rFonts w:ascii="仿宋_GB2312" w:cs="仿宋_GB2312" w:eastAsia="仿宋_GB2312" w:hAnsi="仿宋_GB2312" w:hint="default"/>
          <w:kern w:val="0"/>
          <w:sz w:val="24"/>
        </w:rPr>
        <w:t xml:space="preserve">  </w:t>
      </w:r>
    </w:p>
    <w:p>
      <w:pPr>
        <w:pStyle w:val="style0"/>
        <w:widowControl/>
        <w:autoSpaceDE w:val="false"/>
        <w:spacing w:lineRule="auto" w:line="360"/>
        <w:ind w:right="140"/>
        <w:rPr>
          <w:rFonts w:ascii="仿宋_GB2312" w:cs="仿宋_GB2312" w:eastAsia="仿宋_GB2312" w:hAnsi="仿宋_GB2312" w:hint="eastAsia"/>
          <w:kern w:val="0"/>
          <w:sz w:val="24"/>
        </w:rPr>
      </w:pPr>
    </w:p>
    <w:p>
      <w:pPr>
        <w:pStyle w:val="style0"/>
        <w:spacing w:lineRule="exact" w:line="520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>
      <w:pPr>
        <w:pStyle w:val="style0"/>
        <w:spacing w:lineRule="exact" w:line="520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</w:p>
    <w:p>
      <w:pPr>
        <w:pStyle w:val="style0"/>
        <w:spacing w:lineRule="exact" w:line="520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附件：2022年“助力乡村振兴，建设美丽中国”暑期社会实践专项活动获奖信息表</w:t>
      </w:r>
    </w:p>
    <w:p>
      <w:pPr>
        <w:pStyle w:val="style0"/>
        <w:spacing w:lineRule="exact" w:line="520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</w:p>
    <w:p>
      <w:pPr>
        <w:pStyle w:val="style0"/>
        <w:spacing w:lineRule="exact" w:line="520"/>
        <w:ind w:firstLine="640" w:firstLineChars="20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共青团上海立信会计金融学院委员会</w:t>
      </w:r>
    </w:p>
    <w:p>
      <w:pPr>
        <w:pStyle w:val="style0"/>
        <w:spacing w:lineRule="exact" w:line="520"/>
        <w:ind w:firstLine="4480" w:firstLineChars="140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2022年9月30日 </w:t>
      </w:r>
    </w:p>
    <w:sectPr>
      <w:pgSz w:w="11906" w:h="16838" w:orient="portrait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004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Arial">
    <w:altName w:val="Arial"/>
    <w:panose1 w:val="020b07040200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FZFSK--GBK1-0"/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E-BZ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汉仪中等线KW"/>
    <w:panose1 w:val="02010600030001010101"/>
    <w:charset w:val="00"/>
    <w:family w:val="auto"/>
    <w:pitch w:val="default"/>
    <w:sig w:usb0="00000000" w:usb1="00000000" w:usb2="00000016" w:usb3="00000000" w:csb0="0004000F" w:csb1="00000000"/>
  </w:font>
  <w:font w:name="Malgun Gothic">
    <w:altName w:val="Apple SD Gothic Neo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隶书">
    <w:altName w:val="宋体-简"/>
    <w:panose1 w:val="020105090600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002020204"/>
    <w:charset w:val="00"/>
    <w:family w:val="swiss"/>
    <w:pitch w:val="default"/>
    <w:sig w:usb0="00000000" w:usb1="00000000" w:usb2="00000016" w:usb3="00000000" w:csb0="0004001F" w:csb1="00000000"/>
  </w:font>
  <w:font w:name="MS Gothic">
    <w:altName w:val="苹方-简"/>
    <w:panose1 w:val="020b0609070002080204"/>
    <w:charset w:val="00"/>
    <w:family w:val="modern"/>
    <w:pitch w:val="default"/>
    <w:sig w:usb0="00000000" w:usb1="00000000" w:usb2="08000012" w:usb3="00000000" w:csb0="4002009F" w:csb1="DFD70000"/>
  </w:font>
  <w:font w:name="宋体-简">
    <w:altName w:val="宋体-简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5040204"/>
    <w:charset w:val="00"/>
    <w:family w:val="auto"/>
    <w:pitch w:val="default"/>
    <w:sig w:usb0="E1002AFF" w:usb1="C000605B" w:usb2="00000029" w:usb3="00000000" w:csb0="200101FF" w:csb1="20280000"/>
  </w:font>
  <w:font w:name="汉仪中等线KW">
    <w:altName w:val="汉仪中等线KW"/>
    <w:panose1 w:val="01010104010001010101"/>
    <w:charset w:val="86"/>
    <w:family w:val="auto"/>
    <w:pitch w:val="default"/>
    <w:sig w:usb0="800002BF" w:usb1="004F7CFA" w:usb2="00000000" w:usb3="00000000" w:csb0="00040001" w:csb1="00000000"/>
  </w:font>
  <w:font w:name="Apple SD Gothic Neo">
    <w:altName w:val="Apple SD Gothic Neo"/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旗黑">
    <w:altName w:val="汉仪旗黑"/>
    <w:panose1 w:val="00020600040001010101"/>
    <w:charset w:val="86"/>
    <w:family w:val="auto"/>
    <w:pitch w:val="default"/>
    <w:sig w:usb0="A00002BF" w:usb1="1ACF7CFA" w:usb2="00000016" w:usb3="00000000" w:csb0="0004009F" w:csb1="DFD70000"/>
  </w:font>
  <w:font w:name="Songti SC Regular">
    <w:altName w:val="Songti SC Regular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 2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汉仪楷体KW">
    <w:altName w:val="汉仪楷体KW"/>
    <w:panose1 w:val="000206000400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00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3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正文1"/>
    <w:basedOn w:val="style0"/>
    <w:next w:val="style4097"/>
    <w:qFormat/>
    <w:uiPriority w:val="0"/>
    <w:pPr>
      <w:ind w:firstLine="200" w:firstLineChars="200"/>
    </w:pPr>
    <w:rPr>
      <w:rFonts w:ascii="Times New Roman" w:cs="Times New Roman" w:eastAsia="仿宋_GB2312" w:hAnsi="Times New Roman"/>
      <w:sz w:val="28"/>
      <w:szCs w:val="32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sz w:val="18"/>
      <w:szCs w:val="18"/>
    </w:rPr>
  </w:style>
  <w:style w:type="character" w:customStyle="1" w:styleId="style4100">
    <w:name w:val="标题 1 字符"/>
    <w:basedOn w:val="style65"/>
    <w:next w:val="style4100"/>
    <w:link w:val="style1"/>
    <w:qFormat/>
    <w:uiPriority w:val="9"/>
    <w:rPr>
      <w:rFonts w:ascii="宋体" w:cs="宋体" w:eastAsia="宋体" w:hAnsi="宋体"/>
      <w:b/>
      <w:bCs/>
      <w:kern w:val="36"/>
      <w:sz w:val="48"/>
      <w:szCs w:val="48"/>
    </w:rPr>
  </w:style>
  <w:style w:type="paragraph" w:customStyle="1" w:styleId="style4101">
    <w:name w:val="列表段落1"/>
    <w:basedOn w:val="style0"/>
    <w:next w:val="style4101"/>
    <w:qFormat/>
    <w:uiPriority w:val="34"/>
    <w:pPr>
      <w:ind w:firstLine="420" w:firstLineChars="200"/>
    </w:pPr>
    <w:rPr/>
  </w:style>
  <w:style w:type="character" w:customStyle="1" w:styleId="style4102">
    <w:name w:val="批注框文本 字符"/>
    <w:basedOn w:val="style65"/>
    <w:next w:val="style4102"/>
    <w:link w:val="style153"/>
    <w:qFormat/>
    <w:uiPriority w:val="99"/>
    <w:rPr>
      <w:sz w:val="18"/>
      <w:szCs w:val="18"/>
    </w:rPr>
  </w:style>
  <w:style w:type="character" w:customStyle="1" w:styleId="style4103">
    <w:name w:val="日期 字符"/>
    <w:basedOn w:val="style65"/>
    <w:next w:val="style4103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1035</Words>
  <Pages>3</Pages>
  <Characters>1096</Characters>
  <Application>WPS Office</Application>
  <DocSecurity>0</DocSecurity>
  <Paragraphs>69</Paragraphs>
  <ScaleCrop>false</ScaleCrop>
  <Company>Microsoft</Company>
  <LinksUpToDate>false</LinksUpToDate>
  <CharactersWithSpaces>1239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2022-09-30T05:27:00Z</dcterms:created>
  <dc:creator>金格科技</dc:creator>
  <lastModifiedBy>TAS-AN00</lastModifiedBy>
  <dcterms:modified xsi:type="dcterms:W3CDTF">2022-10-04T00:20:12Z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fd631376ef934c6cb9a880c0cad9b9e1</vt:lpwstr>
  </property>
</Properties>
</file>